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C96777" w:rsidTr="00C96777">
        <w:trPr>
          <w:trHeight w:val="2157"/>
        </w:trPr>
        <w:tc>
          <w:tcPr>
            <w:tcW w:w="4339" w:type="dxa"/>
          </w:tcPr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C96777" w:rsidRDefault="00C96777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C96777" w:rsidRDefault="00C96777">
            <w:pPr>
              <w:jc w:val="both"/>
              <w:rPr>
                <w:b/>
                <w:u w:val="single"/>
              </w:rPr>
            </w:pPr>
          </w:p>
        </w:tc>
        <w:tc>
          <w:tcPr>
            <w:tcW w:w="2163" w:type="dxa"/>
          </w:tcPr>
          <w:p w:rsidR="00C96777" w:rsidRDefault="00C96777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20955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96777" w:rsidRDefault="00C96777">
            <w:pPr>
              <w:jc w:val="both"/>
            </w:pPr>
          </w:p>
        </w:tc>
        <w:tc>
          <w:tcPr>
            <w:tcW w:w="3940" w:type="dxa"/>
          </w:tcPr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C96777" w:rsidRDefault="00C96777">
            <w:pPr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C96777" w:rsidRDefault="00C96777">
            <w:pPr>
              <w:jc w:val="both"/>
            </w:pPr>
          </w:p>
        </w:tc>
      </w:tr>
    </w:tbl>
    <w:p w:rsidR="00C96777" w:rsidRDefault="009132D6" w:rsidP="00D31015">
      <w:pPr>
        <w:pStyle w:val="3"/>
        <w:spacing w:before="0" w:after="0"/>
        <w:jc w:val="center"/>
        <w:rPr>
          <w:rFonts w:ascii="Lucida Sans Unicode" w:hAnsi="Lucida Sans Unicode" w:cs="Times New Roman"/>
          <w:b w:val="0"/>
          <w:sz w:val="28"/>
          <w:szCs w:val="28"/>
          <w:lang w:val="be-BY"/>
        </w:rPr>
      </w:pPr>
      <w:r w:rsidRPr="009132D6">
        <w:pict>
          <v:line id="_x0000_s1027" style="position:absolute;left:0;text-align:left;z-index:251656704;mso-position-horizontal-relative:text;mso-position-vertical-relative:text" from="-24pt,94.05pt" to="525pt,94.05pt"/>
        </w:pict>
      </w:r>
      <w:r w:rsidRPr="009132D6">
        <w:pict>
          <v:line id="_x0000_s1026" style="position:absolute;left:0;text-align:left;z-index:251657728;mso-position-horizontal-relative:text;mso-position-vertical-relative:text" from="-24pt,88.8pt" to="525pt,88.8pt" strokeweight="3pt"/>
        </w:pict>
      </w:r>
    </w:p>
    <w:p w:rsidR="00D31015" w:rsidRDefault="00D31015" w:rsidP="00D31015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17-ое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D31015" w:rsidRDefault="00D31015" w:rsidP="00D31015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ҠАРАР                                                                          </w:t>
      </w:r>
      <w:r>
        <w:rPr>
          <w:sz w:val="28"/>
          <w:szCs w:val="28"/>
        </w:rPr>
        <w:t>РЕШЕНИЕ</w:t>
      </w:r>
      <w:r>
        <w:rPr>
          <w:rFonts w:ascii="Lucida Sans Unicode" w:hAnsi="Lucida Sans Unicode"/>
          <w:sz w:val="28"/>
          <w:szCs w:val="28"/>
          <w:lang w:val="be-BY"/>
        </w:rPr>
        <w:t xml:space="preserve">    </w:t>
      </w:r>
    </w:p>
    <w:p w:rsidR="00D31015" w:rsidRDefault="00D31015" w:rsidP="00D31015">
      <w:pPr>
        <w:autoSpaceDE w:val="0"/>
        <w:autoSpaceDN w:val="0"/>
        <w:adjustRightInd w:val="0"/>
        <w:jc w:val="center"/>
      </w:pPr>
    </w:p>
    <w:p w:rsidR="003627DD" w:rsidRDefault="00D31015" w:rsidP="00D310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31015" w:rsidRDefault="00D31015" w:rsidP="00D3101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2016 год</w:t>
      </w:r>
    </w:p>
    <w:p w:rsidR="00855811" w:rsidRDefault="00855811" w:rsidP="00D3101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31015" w:rsidRDefault="00D31015" w:rsidP="00D310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264.5, 264.6 Бюджетного кодекса Российской Федерации, ст. 40 Устава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Башкортостан, 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D31015" w:rsidRDefault="00D31015" w:rsidP="00D31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за 2016 год по доходам в сумме 2653884,15 рублей, по расходам в сумме  2622853,80 рублей по следующим показателям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D31015" w:rsidRDefault="00D31015" w:rsidP="00D31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а) доходам бюджета по кодам классификации доходов бюджета согласно приложению № 1 к настоящему решению;</w:t>
      </w:r>
    </w:p>
    <w:p w:rsidR="00D31015" w:rsidRDefault="00D31015" w:rsidP="00D31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3709">
        <w:rPr>
          <w:sz w:val="28"/>
          <w:szCs w:val="28"/>
        </w:rPr>
        <w:t>б</w:t>
      </w:r>
      <w:r>
        <w:rPr>
          <w:sz w:val="28"/>
          <w:szCs w:val="28"/>
        </w:rPr>
        <w:t xml:space="preserve">) ведомственной структуре расходов бюджета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</w:t>
      </w:r>
      <w:r w:rsidR="00F23709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решению;</w:t>
      </w:r>
    </w:p>
    <w:p w:rsidR="00D31015" w:rsidRDefault="00D31015" w:rsidP="00D31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3709">
        <w:rPr>
          <w:sz w:val="28"/>
          <w:szCs w:val="28"/>
        </w:rPr>
        <w:t>в</w:t>
      </w:r>
      <w:r>
        <w:rPr>
          <w:sz w:val="28"/>
          <w:szCs w:val="28"/>
        </w:rPr>
        <w:t xml:space="preserve">) распределению расходов бюджета по разделам и подразделам, целевым статьям  </w:t>
      </w:r>
      <w:proofErr w:type="gramStart"/>
      <w:r>
        <w:rPr>
          <w:sz w:val="28"/>
          <w:szCs w:val="28"/>
        </w:rPr>
        <w:t>расходов классификации расходов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согласно приложению № </w:t>
      </w:r>
      <w:r w:rsidR="00F2370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решению;</w:t>
      </w:r>
    </w:p>
    <w:p w:rsidR="00D31015" w:rsidRDefault="00D31015" w:rsidP="00D310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23709">
        <w:rPr>
          <w:sz w:val="28"/>
          <w:szCs w:val="28"/>
        </w:rPr>
        <w:t>г</w:t>
      </w:r>
      <w:r>
        <w:rPr>
          <w:sz w:val="28"/>
          <w:szCs w:val="28"/>
        </w:rPr>
        <w:t xml:space="preserve">) источников финансирования дефицита бюджета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</w:t>
      </w:r>
      <w:r w:rsidR="00F23709">
        <w:rPr>
          <w:sz w:val="28"/>
          <w:szCs w:val="28"/>
        </w:rPr>
        <w:t>сно приложению №4</w:t>
      </w:r>
      <w:r>
        <w:rPr>
          <w:sz w:val="28"/>
          <w:szCs w:val="28"/>
        </w:rPr>
        <w:t xml:space="preserve"> к настоящему решению;</w:t>
      </w:r>
    </w:p>
    <w:p w:rsidR="007C058D" w:rsidRDefault="00D31015" w:rsidP="00D3101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2.Обнародовать  настоящее решение путем размещения в сети общего  доступа «Интернет» на официальном сайте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</w:p>
    <w:p w:rsidR="00D31015" w:rsidRDefault="00D31015" w:rsidP="00D31015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РБ 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kungak</w:t>
        </w:r>
        <w:proofErr w:type="spellEnd"/>
        <w:r>
          <w:rPr>
            <w:rStyle w:val="a3"/>
            <w:sz w:val="28"/>
            <w:szCs w:val="28"/>
          </w:rPr>
          <w:t>04</w:t>
        </w:r>
        <w:r>
          <w:rPr>
            <w:rStyle w:val="a3"/>
            <w:sz w:val="28"/>
            <w:szCs w:val="28"/>
            <w:lang w:val="en-US"/>
          </w:rPr>
          <w:t>sp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 </w:t>
      </w:r>
    </w:p>
    <w:p w:rsidR="00D31015" w:rsidRDefault="00D31015" w:rsidP="00D3101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31015" w:rsidRDefault="00D31015" w:rsidP="00D310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D31015" w:rsidRDefault="00D31015" w:rsidP="00D310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D31015" w:rsidRDefault="00D31015" w:rsidP="00D310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D31015" w:rsidRDefault="00D31015" w:rsidP="00D31015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     </w:t>
      </w:r>
    </w:p>
    <w:p w:rsidR="007C058D" w:rsidRDefault="00D31015" w:rsidP="00D31015">
      <w:pPr>
        <w:autoSpaceDE w:val="0"/>
        <w:autoSpaceDN w:val="0"/>
        <w:adjustRightInd w:val="0"/>
        <w:jc w:val="right"/>
      </w:pPr>
      <w:r>
        <w:rPr>
          <w:sz w:val="28"/>
          <w:szCs w:val="28"/>
        </w:rPr>
        <w:t xml:space="preserve">Н.Р. </w:t>
      </w:r>
      <w:proofErr w:type="spellStart"/>
      <w:r>
        <w:rPr>
          <w:sz w:val="28"/>
          <w:szCs w:val="28"/>
        </w:rPr>
        <w:t>Сабитов</w:t>
      </w:r>
      <w:proofErr w:type="spellEnd"/>
    </w:p>
    <w:p w:rsidR="00C96777" w:rsidRDefault="00C96777" w:rsidP="007C058D">
      <w:pPr>
        <w:jc w:val="right"/>
      </w:pPr>
    </w:p>
    <w:p w:rsidR="007C058D" w:rsidRPr="007C058D" w:rsidRDefault="007C058D" w:rsidP="007C058D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058D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C058D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C058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C058D">
        <w:rPr>
          <w:rFonts w:ascii="Times New Roman" w:hAnsi="Times New Roman" w:cs="Times New Roman"/>
          <w:sz w:val="24"/>
          <w:szCs w:val="24"/>
        </w:rPr>
        <w:t>унгак</w:t>
      </w:r>
      <w:proofErr w:type="spellEnd"/>
    </w:p>
    <w:p w:rsidR="007C058D" w:rsidRPr="007C058D" w:rsidRDefault="007C058D" w:rsidP="007C058D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7C058D">
        <w:rPr>
          <w:rFonts w:ascii="Times New Roman" w:hAnsi="Times New Roman" w:cs="Times New Roman"/>
          <w:sz w:val="24"/>
          <w:szCs w:val="24"/>
        </w:rPr>
        <w:t xml:space="preserve">   </w:t>
      </w:r>
      <w:r w:rsidR="003627DD">
        <w:rPr>
          <w:rFonts w:ascii="Times New Roman" w:hAnsi="Times New Roman" w:cs="Times New Roman"/>
          <w:sz w:val="24"/>
          <w:szCs w:val="24"/>
        </w:rPr>
        <w:t>11</w:t>
      </w:r>
      <w:r w:rsidRPr="007C058D">
        <w:rPr>
          <w:rFonts w:ascii="Times New Roman" w:hAnsi="Times New Roman" w:cs="Times New Roman"/>
          <w:sz w:val="24"/>
          <w:szCs w:val="24"/>
        </w:rPr>
        <w:t xml:space="preserve"> мая 2017 года </w:t>
      </w:r>
    </w:p>
    <w:p w:rsidR="007C058D" w:rsidRDefault="007C058D" w:rsidP="003212D7">
      <w:pPr>
        <w:rPr>
          <w:sz w:val="24"/>
          <w:szCs w:val="24"/>
        </w:rPr>
      </w:pPr>
      <w:r w:rsidRPr="007C058D">
        <w:rPr>
          <w:sz w:val="24"/>
          <w:szCs w:val="24"/>
        </w:rPr>
        <w:t xml:space="preserve">   №</w:t>
      </w:r>
      <w:r w:rsidR="00306EF4">
        <w:rPr>
          <w:sz w:val="24"/>
          <w:szCs w:val="24"/>
        </w:rPr>
        <w:t>108</w:t>
      </w: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D7590E" w:rsidRDefault="00D7590E" w:rsidP="00D7590E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от 11 мая 2017 г.   №108 </w:t>
      </w:r>
    </w:p>
    <w:p w:rsidR="00D7590E" w:rsidRDefault="00D7590E" w:rsidP="00D7590E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D7590E" w:rsidRDefault="00D7590E" w:rsidP="00D7590E">
      <w:pPr>
        <w:jc w:val="center"/>
      </w:pPr>
      <w:r>
        <w:rPr>
          <w:b/>
          <w:bCs/>
        </w:rPr>
        <w:t xml:space="preserve">Доходы бюджета сельского поселения </w:t>
      </w:r>
      <w:proofErr w:type="spellStart"/>
      <w:r>
        <w:rPr>
          <w:b/>
          <w:bCs/>
        </w:rPr>
        <w:t>Кунгаковский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Аскинский</w:t>
      </w:r>
      <w:proofErr w:type="spellEnd"/>
      <w:r>
        <w:rPr>
          <w:b/>
          <w:bCs/>
        </w:rPr>
        <w:t xml:space="preserve"> район Республики Башкортостан за 2016 год по кодам классификации доходов</w:t>
      </w:r>
    </w:p>
    <w:p w:rsidR="00D7590E" w:rsidRDefault="00D7590E" w:rsidP="00D7590E"/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5"/>
        <w:gridCol w:w="1800"/>
        <w:gridCol w:w="1980"/>
      </w:tblGrid>
      <w:tr w:rsidR="00D7590E" w:rsidTr="00D7590E">
        <w:trPr>
          <w:trHeight w:val="510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Кассовое исполнение</w:t>
            </w:r>
          </w:p>
          <w:p w:rsidR="00D7590E" w:rsidRDefault="00D759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D7590E" w:rsidTr="00D7590E">
        <w:trPr>
          <w:trHeight w:val="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Вид дохода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2 653 884,15</w:t>
            </w:r>
          </w:p>
        </w:tc>
      </w:tr>
      <w:tr w:rsidR="00D7590E" w:rsidTr="00D7590E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1 049 484,15</w:t>
            </w:r>
          </w:p>
        </w:tc>
      </w:tr>
      <w:tr w:rsidR="00D7590E" w:rsidTr="00D7590E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1010200001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49 552,79</w:t>
            </w:r>
          </w:p>
        </w:tc>
      </w:tr>
      <w:tr w:rsidR="00D7590E" w:rsidTr="00D7590E">
        <w:trPr>
          <w:trHeight w:val="276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1 474,62                                 </w:t>
            </w:r>
          </w:p>
        </w:tc>
      </w:tr>
      <w:tr w:rsidR="00D7590E" w:rsidTr="00D7590E">
        <w:trPr>
          <w:trHeight w:val="297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1050300001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1 474,62                                 </w:t>
            </w:r>
          </w:p>
        </w:tc>
      </w:tr>
      <w:tr w:rsidR="00D7590E" w:rsidTr="00D7590E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207 773,79</w:t>
            </w:r>
          </w:p>
        </w:tc>
      </w:tr>
      <w:tr w:rsidR="00D7590E" w:rsidTr="00D7590E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1060100000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5 608,52</w:t>
            </w:r>
          </w:p>
        </w:tc>
      </w:tr>
      <w:tr w:rsidR="00D7590E" w:rsidTr="00D7590E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1060600000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55 064,43</w:t>
            </w:r>
          </w:p>
        </w:tc>
      </w:tr>
      <w:tr w:rsidR="00D7590E" w:rsidTr="00D7590E">
        <w:trPr>
          <w:trHeight w:val="28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1080000000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4 200,00</w:t>
            </w:r>
          </w:p>
        </w:tc>
      </w:tr>
      <w:tr w:rsidR="00D7590E" w:rsidTr="00D7590E">
        <w:trPr>
          <w:trHeight w:val="25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49 979,00</w:t>
            </w:r>
          </w:p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7590E" w:rsidTr="00D7590E">
        <w:trPr>
          <w:trHeight w:val="272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1170000000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883 604,79</w:t>
            </w:r>
          </w:p>
        </w:tc>
      </w:tr>
      <w:tr w:rsidR="00D7590E" w:rsidTr="00D7590E">
        <w:trPr>
          <w:trHeight w:val="275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2000000000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1 604 400,00</w:t>
            </w:r>
          </w:p>
        </w:tc>
      </w:tr>
      <w:tr w:rsidR="00D7590E" w:rsidTr="00D7590E">
        <w:trPr>
          <w:trHeight w:val="549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2020000000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1 604 400,00</w:t>
            </w:r>
          </w:p>
        </w:tc>
      </w:tr>
      <w:tr w:rsidR="00D7590E" w:rsidTr="00D7590E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2020100000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1 007 600,00</w:t>
            </w:r>
          </w:p>
        </w:tc>
      </w:tr>
      <w:tr w:rsidR="00D7590E" w:rsidTr="00D7590E">
        <w:trPr>
          <w:trHeight w:val="583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2020300000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64 800,00</w:t>
            </w:r>
          </w:p>
        </w:tc>
      </w:tr>
      <w:tr w:rsidR="00D7590E" w:rsidTr="00D7590E">
        <w:trPr>
          <w:trHeight w:val="341"/>
        </w:trPr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2020400000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532 000,00</w:t>
            </w:r>
          </w:p>
        </w:tc>
      </w:tr>
    </w:tbl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D7590E" w:rsidRDefault="00D7590E" w:rsidP="00D7590E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от 11 мая 2017 г.   №108 </w:t>
      </w:r>
    </w:p>
    <w:p w:rsidR="00D7590E" w:rsidRDefault="00D7590E" w:rsidP="00D7590E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D7590E" w:rsidRDefault="00D7590E" w:rsidP="00D7590E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Ведомственная структура расходов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2016 год</w:t>
      </w: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tbl>
      <w:tblPr>
        <w:tblW w:w="9375" w:type="dxa"/>
        <w:tblInd w:w="93" w:type="dxa"/>
        <w:tblLayout w:type="fixed"/>
        <w:tblLook w:val="04A0"/>
      </w:tblPr>
      <w:tblGrid>
        <w:gridCol w:w="4335"/>
        <w:gridCol w:w="925"/>
        <w:gridCol w:w="992"/>
        <w:gridCol w:w="1418"/>
        <w:gridCol w:w="1705"/>
      </w:tblGrid>
      <w:tr w:rsidR="00D7590E" w:rsidTr="00D7590E">
        <w:trPr>
          <w:trHeight w:val="6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Ведомственная структура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Функциональная структура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Целевые статьи расходов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  <w:p w:rsidR="00D7590E" w:rsidRDefault="00D7590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(рублей)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ind w:left="-400" w:firstLine="40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2 622 853,80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color w:val="000000"/>
              </w:rPr>
              <w:t>Кунгаковский</w:t>
            </w:r>
            <w:proofErr w:type="spellEnd"/>
            <w:r>
              <w:rPr>
                <w:b/>
                <w:color w:val="000000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color w:val="000000"/>
              </w:rPr>
              <w:t>Аскинский</w:t>
            </w:r>
            <w:proofErr w:type="spellEnd"/>
            <w:r>
              <w:rPr>
                <w:b/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2 622 853,80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1 904 058,10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481 471,91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481 471,91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9900002030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481 471,91</w:t>
            </w:r>
          </w:p>
        </w:tc>
      </w:tr>
      <w:tr w:rsidR="00D7590E" w:rsidTr="00D7590E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1 422 586,19</w:t>
            </w:r>
          </w:p>
        </w:tc>
      </w:tr>
      <w:tr w:rsidR="00D7590E" w:rsidTr="00D7590E">
        <w:trPr>
          <w:trHeight w:val="9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1 422 586,19</w:t>
            </w:r>
          </w:p>
        </w:tc>
      </w:tr>
      <w:tr w:rsidR="00D7590E" w:rsidTr="00D7590E">
        <w:trPr>
          <w:trHeight w:val="6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9900002040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1 422 586,19</w:t>
            </w:r>
          </w:p>
        </w:tc>
      </w:tr>
      <w:tr w:rsidR="00D7590E" w:rsidTr="00D7590E">
        <w:trPr>
          <w:trHeight w:val="406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64 800,00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Мобилизационная и </w:t>
            </w:r>
            <w:proofErr w:type="gramStart"/>
            <w:r>
              <w:rPr>
                <w:color w:val="000000"/>
              </w:rPr>
              <w:t>вне</w:t>
            </w:r>
            <w:proofErr w:type="gramEnd"/>
            <w:r>
              <w:rPr>
                <w:color w:val="000000"/>
              </w:rPr>
              <w:t xml:space="preserve"> воинская подготовка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64 800,00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64 800,00</w:t>
            </w:r>
          </w:p>
        </w:tc>
      </w:tr>
      <w:tr w:rsidR="00D7590E" w:rsidTr="00D7590E">
        <w:trPr>
          <w:trHeight w:val="12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Осуществление полномочий по первичному воинскому учету на территориях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9900051180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64 800,00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399 495,70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399 495,70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Муниципальная программа "Поддержка дорожного хозяйства" на 2014-2016 годы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399 495,70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Дорожное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1000103150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49 495,70 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350 000,00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154 500,00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154 500,00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Муниципальная программа "Благоустройство сельского поселения на 2014-2016 годы"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0800000000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154 500,00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Мероприятия по благоустройству территорий населенных пунктов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0800106050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right"/>
              <w:rPr>
                <w:sz w:val="24"/>
                <w:szCs w:val="24"/>
              </w:rPr>
            </w:pPr>
            <w:r>
              <w:t>4 500,00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center"/>
              <w:rPr>
                <w:sz w:val="24"/>
                <w:szCs w:val="24"/>
              </w:rPr>
            </w:pPr>
            <w: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0800174040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right"/>
              <w:rPr>
                <w:sz w:val="24"/>
                <w:szCs w:val="24"/>
              </w:rPr>
            </w:pPr>
            <w:r>
              <w:t>150 000,00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100 000,00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100 000,00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района  </w:t>
            </w:r>
            <w:proofErr w:type="spellStart"/>
            <w:r>
              <w:rPr>
                <w:color w:val="000000"/>
              </w:rPr>
              <w:t>Аскинский</w:t>
            </w:r>
            <w:proofErr w:type="spellEnd"/>
            <w:r>
              <w:rPr>
                <w:color w:val="000000"/>
              </w:rPr>
              <w:t xml:space="preserve"> район Республики Башкортостан на 2014-2016 годы"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1100000000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D7590E" w:rsidTr="00D7590E">
        <w:trPr>
          <w:trHeight w:val="30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безвозмездные и безвозвратные перечисления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1110174000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sz w:val="24"/>
                <w:szCs w:val="24"/>
              </w:rPr>
            </w:pPr>
            <w:r>
              <w:t>100 000,00</w:t>
            </w:r>
          </w:p>
        </w:tc>
      </w:tr>
    </w:tbl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outlineLvl w:val="0"/>
      </w:pPr>
    </w:p>
    <w:p w:rsidR="00D7590E" w:rsidRDefault="00D7590E" w:rsidP="00D7590E">
      <w:pPr>
        <w:autoSpaceDE w:val="0"/>
        <w:autoSpaceDN w:val="0"/>
        <w:adjustRightInd w:val="0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  <w:rPr>
          <w:highlight w:val="yellow"/>
        </w:rPr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3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D7590E" w:rsidRDefault="00D7590E" w:rsidP="00D7590E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от 11 мая 2017 г.   №108 </w:t>
      </w:r>
    </w:p>
    <w:p w:rsidR="00D7590E" w:rsidRDefault="00D7590E" w:rsidP="00D7590E">
      <w:pPr>
        <w:tabs>
          <w:tab w:val="left" w:pos="5850"/>
          <w:tab w:val="right" w:pos="9796"/>
        </w:tabs>
        <w:autoSpaceDE w:val="0"/>
        <w:autoSpaceDN w:val="0"/>
        <w:adjustRightInd w:val="0"/>
      </w:pPr>
    </w:p>
    <w:p w:rsidR="00D7590E" w:rsidRDefault="00D7590E" w:rsidP="00D7590E">
      <w:pPr>
        <w:tabs>
          <w:tab w:val="left" w:pos="5850"/>
          <w:tab w:val="right" w:pos="9796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 xml:space="preserve">Распределение расходов сельского поселения </w:t>
      </w:r>
      <w:proofErr w:type="spellStart"/>
      <w:r>
        <w:rPr>
          <w:b/>
          <w:bCs/>
          <w:color w:val="000000"/>
        </w:rPr>
        <w:t>Кунгаковский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Аскинский</w:t>
      </w:r>
      <w:proofErr w:type="spellEnd"/>
      <w:r>
        <w:rPr>
          <w:b/>
          <w:bCs/>
          <w:color w:val="000000"/>
        </w:rPr>
        <w:t xml:space="preserve"> район Республики Башкортостан на 2016 год по разделам и подразделам классификации расходов бюджета.</w:t>
      </w:r>
    </w:p>
    <w:p w:rsidR="00D7590E" w:rsidRDefault="00D7590E" w:rsidP="00D7590E"/>
    <w:tbl>
      <w:tblPr>
        <w:tblW w:w="10085" w:type="dxa"/>
        <w:tblInd w:w="-72" w:type="dxa"/>
        <w:tblLook w:val="04A0"/>
      </w:tblPr>
      <w:tblGrid>
        <w:gridCol w:w="4677"/>
        <w:gridCol w:w="3463"/>
        <w:gridCol w:w="1945"/>
      </w:tblGrid>
      <w:tr w:rsidR="00D7590E" w:rsidTr="00D7590E">
        <w:trPr>
          <w:trHeight w:val="76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Классификация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0E" w:rsidRDefault="00D7590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Кассовое</w:t>
            </w:r>
          </w:p>
          <w:p w:rsidR="00D7590E" w:rsidRDefault="00D759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исполнение</w:t>
            </w:r>
          </w:p>
          <w:p w:rsidR="00D7590E" w:rsidRDefault="00D7590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(рублей)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Расходы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2 622 853,80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\0100\\\\\\\\\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1 904 058,10</w:t>
            </w:r>
          </w:p>
        </w:tc>
      </w:tr>
      <w:tr w:rsidR="00D7590E" w:rsidTr="00D7590E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\0102\\\\\\\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481 471,91</w:t>
            </w:r>
          </w:p>
        </w:tc>
      </w:tr>
      <w:tr w:rsidR="00D7590E" w:rsidTr="00D7590E">
        <w:trPr>
          <w:trHeight w:val="76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\0104\\\\\\\\\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sz w:val="24"/>
                <w:szCs w:val="24"/>
              </w:rPr>
            </w:pPr>
            <w:r>
              <w:t>1 422 586,19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\0200\\\\\\\\\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64 800,00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Мобилизационная и вневойсковая подготовка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\0203\\\\\\\\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sz w:val="24"/>
                <w:szCs w:val="24"/>
              </w:rPr>
            </w:pPr>
            <w:r>
              <w:t>64 800,00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\0400\\\\\\\\\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399 495,70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Дорожное хозяйство (дорожные фонды)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\0409\\\\\\\\\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sz w:val="24"/>
                <w:szCs w:val="24"/>
              </w:rPr>
            </w:pPr>
            <w:r>
              <w:t>399 495,70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\0500\\\\\\\\\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154 500,00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Благоустройство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\0503\\\\\\\\\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590E" w:rsidRDefault="00D7590E">
            <w:pPr>
              <w:jc w:val="right"/>
              <w:rPr>
                <w:sz w:val="24"/>
                <w:szCs w:val="24"/>
              </w:rPr>
            </w:pPr>
            <w:r>
              <w:t>154 500,00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\1400\\\\\\\\\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100 000,00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Прочие межбюджетные трансферты общего характера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rPr>
                <w:sz w:val="24"/>
                <w:szCs w:val="24"/>
              </w:rPr>
            </w:pPr>
            <w:r>
              <w:t>\1403\\\\\\\\\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7590E" w:rsidRDefault="00D7590E">
            <w:pPr>
              <w:jc w:val="right"/>
              <w:rPr>
                <w:sz w:val="24"/>
                <w:szCs w:val="24"/>
              </w:rPr>
            </w:pPr>
            <w:r>
              <w:t>100 000,00</w:t>
            </w:r>
          </w:p>
        </w:tc>
      </w:tr>
      <w:tr w:rsidR="00D7590E" w:rsidTr="00D7590E">
        <w:trPr>
          <w:trHeight w:val="255"/>
        </w:trPr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90E" w:rsidRDefault="00D7590E">
            <w:pPr>
              <w:rPr>
                <w:sz w:val="24"/>
                <w:szCs w:val="24"/>
              </w:rPr>
            </w:pPr>
          </w:p>
          <w:p w:rsidR="00D7590E" w:rsidRDefault="00D7590E">
            <w:pPr>
              <w:rPr>
                <w:sz w:val="24"/>
                <w:szCs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7590E" w:rsidRDefault="00D7590E">
            <w:pPr>
              <w:rPr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7590E" w:rsidRDefault="00D7590E">
            <w:pPr>
              <w:jc w:val="right"/>
              <w:rPr>
                <w:sz w:val="24"/>
                <w:szCs w:val="24"/>
              </w:rPr>
            </w:pPr>
          </w:p>
        </w:tc>
      </w:tr>
    </w:tbl>
    <w:p w:rsidR="00D7590E" w:rsidRDefault="00D7590E" w:rsidP="00D7590E"/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4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к решению Совета 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сельского поселения </w:t>
      </w:r>
      <w:proofErr w:type="spellStart"/>
      <w:r>
        <w:t>Кунгаковский</w:t>
      </w:r>
      <w:proofErr w:type="spellEnd"/>
      <w:r>
        <w:t xml:space="preserve"> сельсовет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Аскинский</w:t>
      </w:r>
      <w:proofErr w:type="spellEnd"/>
      <w:r>
        <w:t xml:space="preserve"> район</w:t>
      </w:r>
    </w:p>
    <w:p w:rsidR="00D7590E" w:rsidRDefault="00D7590E" w:rsidP="00D7590E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D7590E" w:rsidRDefault="00D7590E" w:rsidP="00D7590E">
      <w:pPr>
        <w:tabs>
          <w:tab w:val="left" w:pos="5850"/>
          <w:tab w:val="right" w:pos="9796"/>
        </w:tabs>
        <w:autoSpaceDE w:val="0"/>
        <w:autoSpaceDN w:val="0"/>
        <w:adjustRightInd w:val="0"/>
      </w:pPr>
      <w:r>
        <w:tab/>
        <w:t xml:space="preserve">                от 11 мая 2017 г.   №108 </w:t>
      </w: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Источники финансирования дефицита бюджета сельского поселения </w:t>
      </w:r>
      <w:proofErr w:type="spellStart"/>
      <w:r>
        <w:rPr>
          <w:b/>
        </w:rPr>
        <w:t>Кунгаковский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 Республики Башкортостан за 2016 год по кодам классификации источников финансирования дефицитов бюджетов </w:t>
      </w:r>
    </w:p>
    <w:p w:rsidR="00D7590E" w:rsidRDefault="00D7590E" w:rsidP="00D7590E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9075" w:type="dxa"/>
        <w:tblInd w:w="392" w:type="dxa"/>
        <w:tblLayout w:type="fixed"/>
        <w:tblLook w:val="04A0"/>
      </w:tblPr>
      <w:tblGrid>
        <w:gridCol w:w="3545"/>
        <w:gridCol w:w="3686"/>
        <w:gridCol w:w="1844"/>
      </w:tblGrid>
      <w:tr w:rsidR="00D7590E" w:rsidTr="00D7590E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источников финансирования дефицитов бюджетов классификации операций сектора государственного управления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90E" w:rsidRDefault="00D759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Кассовое исполнение</w:t>
            </w:r>
          </w:p>
        </w:tc>
      </w:tr>
      <w:tr w:rsidR="00D7590E" w:rsidTr="00D7590E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rPr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>+31 030,35</w:t>
            </w:r>
          </w:p>
        </w:tc>
      </w:tr>
      <w:tr w:rsidR="00D7590E" w:rsidTr="00D7590E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>791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rPr>
                <w:sz w:val="24"/>
                <w:szCs w:val="24"/>
              </w:rPr>
            </w:pPr>
            <w:r>
              <w:t xml:space="preserve">Администрация сельского поселения </w:t>
            </w:r>
            <w:proofErr w:type="spellStart"/>
            <w:r>
              <w:t>кунгаковский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Республики Башкортостан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>+31 030,35</w:t>
            </w:r>
          </w:p>
        </w:tc>
      </w:tr>
      <w:tr w:rsidR="00D7590E" w:rsidTr="00D7590E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791 01 00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rPr>
                <w:sz w:val="24"/>
                <w:szCs w:val="24"/>
              </w:rPr>
            </w:pPr>
            <w: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>+31 030,35</w:t>
            </w:r>
          </w:p>
        </w:tc>
      </w:tr>
      <w:tr w:rsidR="00D7590E" w:rsidTr="00D7590E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rPr>
                <w:sz w:val="24"/>
                <w:szCs w:val="24"/>
              </w:rPr>
            </w:pPr>
            <w:r>
              <w:t>Увеличение прочих остатков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>+2 676 622,24</w:t>
            </w:r>
          </w:p>
        </w:tc>
      </w:tr>
      <w:tr w:rsidR="00D7590E" w:rsidTr="00D7590E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>791 01 10 02 01 05 0000 510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rPr>
                <w:sz w:val="24"/>
                <w:szCs w:val="24"/>
              </w:rPr>
            </w:pPr>
            <w:r>
              <w:t>Увеличение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>+2 676 622,24</w:t>
            </w:r>
          </w:p>
        </w:tc>
      </w:tr>
      <w:tr w:rsidR="00D7590E" w:rsidTr="00D7590E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 xml:space="preserve">791 01 10 00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rPr>
                <w:sz w:val="24"/>
                <w:szCs w:val="24"/>
              </w:rPr>
            </w:pPr>
            <w:r>
              <w:t>Уменьшение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>-2 645 591,89</w:t>
            </w:r>
          </w:p>
        </w:tc>
      </w:tr>
      <w:tr w:rsidR="00D7590E" w:rsidTr="00D7590E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>791 01 10 02 01 05 0000 610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590E" w:rsidRDefault="00D7590E">
            <w:pPr>
              <w:snapToGrid w:val="0"/>
              <w:rPr>
                <w:sz w:val="24"/>
                <w:szCs w:val="24"/>
              </w:rPr>
            </w:pPr>
            <w:r>
              <w:t>Уменьшение прочих остатков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590E" w:rsidRDefault="00D7590E">
            <w:pPr>
              <w:snapToGrid w:val="0"/>
              <w:jc w:val="center"/>
              <w:rPr>
                <w:sz w:val="24"/>
                <w:szCs w:val="24"/>
              </w:rPr>
            </w:pPr>
            <w:r>
              <w:t>-2 645 591,89</w:t>
            </w:r>
          </w:p>
        </w:tc>
      </w:tr>
    </w:tbl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jc w:val="right"/>
        <w:outlineLvl w:val="0"/>
      </w:pPr>
    </w:p>
    <w:p w:rsidR="00D7590E" w:rsidRDefault="00D7590E" w:rsidP="00D7590E">
      <w:pPr>
        <w:autoSpaceDE w:val="0"/>
        <w:autoSpaceDN w:val="0"/>
        <w:adjustRightInd w:val="0"/>
        <w:outlineLvl w:val="0"/>
      </w:pPr>
    </w:p>
    <w:p w:rsidR="00D7590E" w:rsidRDefault="00D7590E" w:rsidP="003212D7"/>
    <w:sectPr w:rsidR="00D7590E" w:rsidSect="003212D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21" w:rsidRDefault="00ED2721" w:rsidP="00D31015">
      <w:r>
        <w:separator/>
      </w:r>
    </w:p>
  </w:endnote>
  <w:endnote w:type="continuationSeparator" w:id="0">
    <w:p w:rsidR="00ED2721" w:rsidRDefault="00ED2721" w:rsidP="00D31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21" w:rsidRDefault="00ED2721" w:rsidP="00D31015">
      <w:r>
        <w:separator/>
      </w:r>
    </w:p>
  </w:footnote>
  <w:footnote w:type="continuationSeparator" w:id="0">
    <w:p w:rsidR="00ED2721" w:rsidRDefault="00ED2721" w:rsidP="00D31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1037B"/>
    <w:multiLevelType w:val="hybridMultilevel"/>
    <w:tmpl w:val="C33C66EC"/>
    <w:lvl w:ilvl="0" w:tplc="C58E8D4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</w:lvl>
    <w:lvl w:ilvl="1" w:tplc="C8121730">
      <w:start w:val="1"/>
      <w:numFmt w:val="decimal"/>
      <w:lvlText w:val="%2."/>
      <w:lvlJc w:val="left"/>
      <w:pPr>
        <w:tabs>
          <w:tab w:val="num" w:pos="1830"/>
        </w:tabs>
        <w:ind w:left="1830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777"/>
    <w:rsid w:val="00080A72"/>
    <w:rsid w:val="00086024"/>
    <w:rsid w:val="000D15B4"/>
    <w:rsid w:val="000E1410"/>
    <w:rsid w:val="0014596A"/>
    <w:rsid w:val="00213B0F"/>
    <w:rsid w:val="002462F8"/>
    <w:rsid w:val="002B6CA2"/>
    <w:rsid w:val="002D7FB3"/>
    <w:rsid w:val="00306EF4"/>
    <w:rsid w:val="003212D7"/>
    <w:rsid w:val="003627DD"/>
    <w:rsid w:val="003B1987"/>
    <w:rsid w:val="005320B9"/>
    <w:rsid w:val="005E7D62"/>
    <w:rsid w:val="005F630F"/>
    <w:rsid w:val="0066119C"/>
    <w:rsid w:val="0066388B"/>
    <w:rsid w:val="00667F63"/>
    <w:rsid w:val="0068798C"/>
    <w:rsid w:val="006A1ED6"/>
    <w:rsid w:val="006B37B9"/>
    <w:rsid w:val="006C218D"/>
    <w:rsid w:val="00724A8E"/>
    <w:rsid w:val="00764C73"/>
    <w:rsid w:val="007B5702"/>
    <w:rsid w:val="007C058D"/>
    <w:rsid w:val="007D5BE1"/>
    <w:rsid w:val="008248A3"/>
    <w:rsid w:val="00855811"/>
    <w:rsid w:val="008C388A"/>
    <w:rsid w:val="009132D6"/>
    <w:rsid w:val="00950E65"/>
    <w:rsid w:val="009C1253"/>
    <w:rsid w:val="00A13C58"/>
    <w:rsid w:val="00A174CF"/>
    <w:rsid w:val="00A416B5"/>
    <w:rsid w:val="00A572D0"/>
    <w:rsid w:val="00B31B01"/>
    <w:rsid w:val="00BF357F"/>
    <w:rsid w:val="00C348F3"/>
    <w:rsid w:val="00C56E5B"/>
    <w:rsid w:val="00C6220F"/>
    <w:rsid w:val="00C710D8"/>
    <w:rsid w:val="00C96777"/>
    <w:rsid w:val="00D31015"/>
    <w:rsid w:val="00D7590E"/>
    <w:rsid w:val="00D908D2"/>
    <w:rsid w:val="00DC1C13"/>
    <w:rsid w:val="00E106C7"/>
    <w:rsid w:val="00EB51D9"/>
    <w:rsid w:val="00ED2721"/>
    <w:rsid w:val="00EE2345"/>
    <w:rsid w:val="00F2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967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677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C9677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96777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C967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1"/>
    <w:semiHidden/>
    <w:unhideWhenUsed/>
    <w:rsid w:val="00C96777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967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semiHidden/>
    <w:locked/>
    <w:rsid w:val="00C96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9677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7">
    <w:name w:val="Основной текст с отступом Знак"/>
    <w:basedOn w:val="a0"/>
    <w:link w:val="a6"/>
    <w:semiHidden/>
    <w:rsid w:val="00C96777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310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1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31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1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75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ngak04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2017-05-31T08:12:00Z</cp:lastPrinted>
  <dcterms:created xsi:type="dcterms:W3CDTF">2017-04-06T09:29:00Z</dcterms:created>
  <dcterms:modified xsi:type="dcterms:W3CDTF">2017-06-06T05:57:00Z</dcterms:modified>
</cp:coreProperties>
</file>